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93B" w14:textId="11C19D8F" w:rsidR="000D2393" w:rsidRPr="000D2393" w:rsidRDefault="000D2393" w:rsidP="000D2393">
      <w:pPr>
        <w:rPr>
          <w:rFonts w:eastAsia="Calibri"/>
          <w:b/>
          <w:bCs/>
          <w:sz w:val="16"/>
          <w:szCs w:val="16"/>
          <w:lang w:eastAsia="en-GB"/>
        </w:rPr>
      </w:pP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</w:t>
      </w:r>
      <w:r>
        <w:rPr>
          <w:rFonts w:eastAsia="Calibri"/>
          <w:b/>
          <w:bCs/>
          <w:sz w:val="16"/>
          <w:szCs w:val="16"/>
          <w:lang w:eastAsia="en-GB"/>
        </w:rPr>
        <w:t>_______________________________________________</w:t>
      </w: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_________________________________________</w:t>
      </w:r>
    </w:p>
    <w:p w14:paraId="1FD2D9E7" w14:textId="77777777" w:rsidR="000D2393" w:rsidRPr="000D2393" w:rsidRDefault="000D2393" w:rsidP="000D2393">
      <w:pPr>
        <w:rPr>
          <w:rFonts w:eastAsia="Calibri"/>
          <w:sz w:val="16"/>
          <w:szCs w:val="16"/>
          <w:lang w:eastAsia="en-GB"/>
        </w:rPr>
      </w:pPr>
    </w:p>
    <w:p w14:paraId="76FE23FE" w14:textId="77777777" w:rsidR="000D2393" w:rsidRPr="000D2393" w:rsidRDefault="000D2393" w:rsidP="000D2393">
      <w:pPr>
        <w:jc w:val="center"/>
        <w:rPr>
          <w:rFonts w:eastAsia="Calibri"/>
          <w:b/>
          <w:bCs/>
          <w:sz w:val="28"/>
          <w:szCs w:val="28"/>
          <w:lang w:eastAsia="en-GB"/>
        </w:rPr>
      </w:pPr>
      <w:r w:rsidRPr="000D2393">
        <w:rPr>
          <w:rFonts w:eastAsia="Calibri"/>
          <w:b/>
          <w:bCs/>
          <w:sz w:val="28"/>
          <w:szCs w:val="28"/>
          <w:lang w:eastAsia="en-GB"/>
        </w:rPr>
        <w:t>NORTHERN COUNTIES CHESS UNION FOUNDED 1899</w:t>
      </w:r>
    </w:p>
    <w:p w14:paraId="3B4706D3" w14:textId="0FA38340" w:rsidR="000D2393" w:rsidRPr="000D2393" w:rsidRDefault="000D2393" w:rsidP="000D2393">
      <w:pPr>
        <w:rPr>
          <w:rFonts w:eastAsia="Calibri"/>
          <w:sz w:val="16"/>
          <w:szCs w:val="16"/>
          <w:lang w:eastAsia="en-GB"/>
        </w:rPr>
      </w:pP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</w:t>
      </w:r>
      <w:r>
        <w:rPr>
          <w:rFonts w:eastAsia="Calibri"/>
          <w:b/>
          <w:bCs/>
          <w:sz w:val="16"/>
          <w:szCs w:val="16"/>
          <w:lang w:eastAsia="en-GB"/>
        </w:rPr>
        <w:t>_______________________________________________</w:t>
      </w: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_________________________________________</w:t>
      </w:r>
    </w:p>
    <w:p w14:paraId="758E6F09" w14:textId="77777777" w:rsidR="000D2393" w:rsidRPr="00073958" w:rsidRDefault="000D2393" w:rsidP="000D2393">
      <w:pPr>
        <w:jc w:val="center"/>
        <w:rPr>
          <w:rFonts w:eastAsia="Calibri"/>
          <w:b/>
          <w:color w:val="000000"/>
          <w:sz w:val="16"/>
          <w:szCs w:val="16"/>
          <w:lang w:eastAsia="en-GB"/>
        </w:rPr>
      </w:pPr>
    </w:p>
    <w:p w14:paraId="6E332F06" w14:textId="5CEEC426" w:rsidR="00AB5E43" w:rsidRPr="001F0BB5" w:rsidRDefault="001F0BB5" w:rsidP="001F0BB5">
      <w:pPr>
        <w:jc w:val="center"/>
        <w:rPr>
          <w:b/>
          <w:sz w:val="28"/>
          <w:szCs w:val="28"/>
        </w:rPr>
      </w:pPr>
      <w:r w:rsidRPr="001F0BB5">
        <w:rPr>
          <w:b/>
          <w:sz w:val="28"/>
          <w:szCs w:val="28"/>
        </w:rPr>
        <w:t>AGM 2025 Treasurer’s Report</w:t>
      </w:r>
    </w:p>
    <w:p w14:paraId="0ED74CEB" w14:textId="77777777" w:rsidR="001F0BB5" w:rsidRPr="001F0BB5" w:rsidRDefault="001F0BB5" w:rsidP="000D2393">
      <w:pPr>
        <w:rPr>
          <w:bCs/>
          <w:sz w:val="28"/>
          <w:szCs w:val="28"/>
        </w:rPr>
      </w:pPr>
    </w:p>
    <w:p w14:paraId="39F72BF3" w14:textId="0659B8B6" w:rsidR="001F0BB5" w:rsidRDefault="001F0BB5" w:rsidP="000D2393">
      <w:pPr>
        <w:rPr>
          <w:bCs/>
        </w:rPr>
      </w:pPr>
      <w:r>
        <w:rPr>
          <w:bCs/>
        </w:rPr>
        <w:t>Attempts to set me up as treasurer with our former bankers, Santander, ultimately floundered, essentially as</w:t>
      </w:r>
      <w:r w:rsidR="00555B7B">
        <w:rPr>
          <w:bCs/>
        </w:rPr>
        <w:t xml:space="preserve"> (amongst other obstacles they created)</w:t>
      </w:r>
      <w:r>
        <w:rPr>
          <w:bCs/>
        </w:rPr>
        <w:t xml:space="preserve">, </w:t>
      </w:r>
      <w:r w:rsidR="00B80FCD">
        <w:rPr>
          <w:bCs/>
        </w:rPr>
        <w:t xml:space="preserve">after </w:t>
      </w:r>
      <w:r w:rsidR="00555B7B">
        <w:rPr>
          <w:bCs/>
        </w:rPr>
        <w:t>three versions of</w:t>
      </w:r>
      <w:r>
        <w:rPr>
          <w:bCs/>
        </w:rPr>
        <w:t xml:space="preserve"> what </w:t>
      </w:r>
      <w:r w:rsidR="00B80FCD">
        <w:rPr>
          <w:bCs/>
        </w:rPr>
        <w:t xml:space="preserve">was required it </w:t>
      </w:r>
      <w:proofErr w:type="gramStart"/>
      <w:r w:rsidR="00B80FCD">
        <w:rPr>
          <w:bCs/>
        </w:rPr>
        <w:t>transpired</w:t>
      </w:r>
      <w:proofErr w:type="gramEnd"/>
      <w:r w:rsidR="00B80FCD">
        <w:rPr>
          <w:bCs/>
        </w:rPr>
        <w:t xml:space="preserve"> </w:t>
      </w:r>
      <w:r>
        <w:rPr>
          <w:bCs/>
        </w:rPr>
        <w:t>I needed to prove my identity with, amongst other things either a driving license or passport, n</w:t>
      </w:r>
      <w:r w:rsidR="00555B7B">
        <w:rPr>
          <w:bCs/>
        </w:rPr>
        <w:t>ei</w:t>
      </w:r>
      <w:r>
        <w:rPr>
          <w:bCs/>
        </w:rPr>
        <w:t xml:space="preserve">ther of which I’ve ever had.  So, it was decided to </w:t>
      </w:r>
      <w:r w:rsidR="00555B7B">
        <w:rPr>
          <w:bCs/>
        </w:rPr>
        <w:t>move to</w:t>
      </w:r>
      <w:r>
        <w:rPr>
          <w:bCs/>
        </w:rPr>
        <w:t xml:space="preserve"> a different banker, Metrobank, to which end a Special Council Meeting was held on 12/01/2025 to provide documentation required by the bank.</w:t>
      </w:r>
      <w:r w:rsidR="00B80FCD">
        <w:rPr>
          <w:bCs/>
        </w:rPr>
        <w:t xml:space="preserve"> (See SCM</w:t>
      </w:r>
      <w:r w:rsidR="00E25ADF">
        <w:rPr>
          <w:bCs/>
        </w:rPr>
        <w:t xml:space="preserve"> </w:t>
      </w:r>
      <w:r w:rsidR="00B80FCD">
        <w:rPr>
          <w:bCs/>
        </w:rPr>
        <w:t>minutes.)</w:t>
      </w:r>
    </w:p>
    <w:p w14:paraId="5BB9EBC8" w14:textId="77777777" w:rsidR="001F0BB5" w:rsidRDefault="001F0BB5" w:rsidP="000D2393">
      <w:pPr>
        <w:rPr>
          <w:bCs/>
        </w:rPr>
      </w:pPr>
    </w:p>
    <w:p w14:paraId="42D23401" w14:textId="1467B9BE" w:rsidR="00AB5E43" w:rsidRDefault="001F0BB5" w:rsidP="000D2393">
      <w:pPr>
        <w:rPr>
          <w:bCs/>
        </w:rPr>
      </w:pPr>
      <w:r>
        <w:rPr>
          <w:bCs/>
        </w:rPr>
        <w:t xml:space="preserve">At the time of writing (25/05/2025) a meeting with the bank to open the new account was awaited. </w:t>
      </w:r>
    </w:p>
    <w:p w14:paraId="351E031F" w14:textId="77777777" w:rsidR="001F0BB5" w:rsidRDefault="001F0BB5" w:rsidP="000D2393">
      <w:pPr>
        <w:rPr>
          <w:bCs/>
        </w:rPr>
      </w:pPr>
    </w:p>
    <w:p w14:paraId="22A5B9C6" w14:textId="765EAD91" w:rsidR="001F0BB5" w:rsidRDefault="001F0BB5" w:rsidP="000D2393">
      <w:pPr>
        <w:rPr>
          <w:bCs/>
        </w:rPr>
      </w:pPr>
      <w:r>
        <w:rPr>
          <w:bCs/>
        </w:rPr>
        <w:t>The plan, once the new account is open, is</w:t>
      </w:r>
    </w:p>
    <w:p w14:paraId="085A0659" w14:textId="16030381" w:rsidR="001F0BB5" w:rsidRDefault="001F0BB5" w:rsidP="000D2393">
      <w:pPr>
        <w:rPr>
          <w:bCs/>
        </w:rPr>
      </w:pPr>
      <w:r>
        <w:rPr>
          <w:bCs/>
        </w:rPr>
        <w:t xml:space="preserve">1)  Transfer </w:t>
      </w:r>
      <w:r w:rsidR="002D311A">
        <w:rPr>
          <w:bCs/>
        </w:rPr>
        <w:t xml:space="preserve">across </w:t>
      </w:r>
      <w:r>
        <w:rPr>
          <w:bCs/>
        </w:rPr>
        <w:t xml:space="preserve">the </w:t>
      </w:r>
      <w:r w:rsidR="002D311A">
        <w:rPr>
          <w:bCs/>
        </w:rPr>
        <w:t>£</w:t>
      </w:r>
      <w:r w:rsidR="002D311A" w:rsidRPr="002D311A">
        <w:rPr>
          <w:bCs/>
        </w:rPr>
        <w:t>1</w:t>
      </w:r>
      <w:r w:rsidR="002D311A">
        <w:rPr>
          <w:bCs/>
        </w:rPr>
        <w:t xml:space="preserve">, </w:t>
      </w:r>
      <w:r w:rsidR="002D311A" w:rsidRPr="002D311A">
        <w:rPr>
          <w:bCs/>
        </w:rPr>
        <w:t>317.86</w:t>
      </w:r>
      <w:r w:rsidR="002D311A">
        <w:rPr>
          <w:bCs/>
        </w:rPr>
        <w:t xml:space="preserve"> in the Santander current account.</w:t>
      </w:r>
    </w:p>
    <w:p w14:paraId="11EA6EC1" w14:textId="271F5ABD" w:rsidR="002D311A" w:rsidRDefault="002D311A" w:rsidP="000D2393">
      <w:pPr>
        <w:rPr>
          <w:bCs/>
        </w:rPr>
      </w:pPr>
      <w:r>
        <w:rPr>
          <w:bCs/>
        </w:rPr>
        <w:t>2)  Pay £247 in total owed to Dave Cole and Rupert Jones</w:t>
      </w:r>
    </w:p>
    <w:p w14:paraId="3F3BF727" w14:textId="77777777" w:rsidR="001C6ED5" w:rsidRDefault="002D311A" w:rsidP="002D311A">
      <w:pPr>
        <w:rPr>
          <w:bCs/>
        </w:rPr>
      </w:pPr>
      <w:r>
        <w:rPr>
          <w:bCs/>
        </w:rPr>
        <w:t>3)  Request 2024/25 CCA Membership fees</w:t>
      </w:r>
      <w:r w:rsidR="001C6ED5">
        <w:rPr>
          <w:bCs/>
        </w:rPr>
        <w:t>, £75 f</w:t>
      </w:r>
      <w:r>
        <w:rPr>
          <w:bCs/>
        </w:rPr>
        <w:t>rom 8 counties</w:t>
      </w:r>
    </w:p>
    <w:p w14:paraId="681C23F6" w14:textId="6B7694EB" w:rsidR="002D311A" w:rsidRDefault="002D311A" w:rsidP="002D311A">
      <w:pPr>
        <w:rPr>
          <w:bCs/>
        </w:rPr>
      </w:pPr>
      <w:r>
        <w:rPr>
          <w:bCs/>
        </w:rPr>
        <w:t>4)  Request 2025/26 CCA Membership fees</w:t>
      </w:r>
      <w:r w:rsidR="001C6ED5">
        <w:rPr>
          <w:bCs/>
        </w:rPr>
        <w:t xml:space="preserve">, </w:t>
      </w:r>
      <w:r>
        <w:rPr>
          <w:bCs/>
        </w:rPr>
        <w:t xml:space="preserve">£75 or as set at the </w:t>
      </w:r>
      <w:r w:rsidR="001C6ED5">
        <w:rPr>
          <w:bCs/>
        </w:rPr>
        <w:t xml:space="preserve">2025 </w:t>
      </w:r>
      <w:r>
        <w:rPr>
          <w:bCs/>
        </w:rPr>
        <w:t>AGM</w:t>
      </w:r>
    </w:p>
    <w:p w14:paraId="5D3932CF" w14:textId="6C1B32BE" w:rsidR="001F0BB5" w:rsidRDefault="001C6ED5" w:rsidP="000D2393">
      <w:pPr>
        <w:rPr>
          <w:bCs/>
        </w:rPr>
      </w:pPr>
      <w:r>
        <w:rPr>
          <w:bCs/>
        </w:rPr>
        <w:t>5</w:t>
      </w:r>
      <w:r w:rsidR="002D311A">
        <w:rPr>
          <w:bCs/>
        </w:rPr>
        <w:t>)  Initiate attempts to transfer across £742.67 in the Santander LMS NMS savings account.</w:t>
      </w:r>
    </w:p>
    <w:p w14:paraId="4647838B" w14:textId="41DF32DB" w:rsidR="002D311A" w:rsidRDefault="001C6ED5" w:rsidP="000D2393">
      <w:pPr>
        <w:rPr>
          <w:bCs/>
        </w:rPr>
      </w:pPr>
      <w:r>
        <w:rPr>
          <w:bCs/>
        </w:rPr>
        <w:t>6</w:t>
      </w:r>
      <w:r w:rsidR="002D311A">
        <w:rPr>
          <w:bCs/>
        </w:rPr>
        <w:t>)  Do the same for the £475.67 in the Santander NCCU savings account, requiring me to enlist assistance of signatories long unconnected with the NCCU, but known to me of old.</w:t>
      </w:r>
    </w:p>
    <w:p w14:paraId="66D1F20C" w14:textId="77777777" w:rsidR="001F0BB5" w:rsidRDefault="001F0BB5" w:rsidP="000D2393">
      <w:pPr>
        <w:rPr>
          <w:bCs/>
        </w:rPr>
      </w:pPr>
    </w:p>
    <w:p w14:paraId="11658E69" w14:textId="511BBED9" w:rsidR="001C6ED5" w:rsidRDefault="001C6ED5" w:rsidP="000D2393">
      <w:pPr>
        <w:rPr>
          <w:bCs/>
        </w:rPr>
      </w:pPr>
      <w:r>
        <w:rPr>
          <w:bCs/>
        </w:rPr>
        <w:t>Provided step 1 is successful, that will be sufficient for cash flow, and there is no urgency with steps 3 &amp; 4.  If steps 5 or step 6 should fail, then it will not be the end of the world.</w:t>
      </w:r>
    </w:p>
    <w:p w14:paraId="266CA093" w14:textId="77777777" w:rsidR="001C6ED5" w:rsidRDefault="001C6ED5" w:rsidP="000D2393">
      <w:pPr>
        <w:rPr>
          <w:bCs/>
        </w:rPr>
      </w:pPr>
    </w:p>
    <w:p w14:paraId="3F81721F" w14:textId="24472A88" w:rsidR="00F05070" w:rsidRDefault="001C6ED5" w:rsidP="000D2393">
      <w:pPr>
        <w:rPr>
          <w:bCs/>
        </w:rPr>
      </w:pPr>
      <w:r>
        <w:rPr>
          <w:bCs/>
        </w:rPr>
        <w:t xml:space="preserve">Future </w:t>
      </w:r>
      <w:r w:rsidR="00F05070">
        <w:rPr>
          <w:bCs/>
        </w:rPr>
        <w:t>know</w:t>
      </w:r>
      <w:r w:rsidR="00555B7B">
        <w:rPr>
          <w:bCs/>
        </w:rPr>
        <w:t>n</w:t>
      </w:r>
      <w:r w:rsidR="00F05070">
        <w:rPr>
          <w:bCs/>
        </w:rPr>
        <w:t xml:space="preserve"> </w:t>
      </w:r>
      <w:r>
        <w:rPr>
          <w:bCs/>
        </w:rPr>
        <w:t>normal expenditure should be easily covered with just the above £1.317.86</w:t>
      </w:r>
      <w:r w:rsidR="00555B7B">
        <w:rPr>
          <w:bCs/>
        </w:rPr>
        <w:t>.</w:t>
      </w:r>
      <w:r>
        <w:rPr>
          <w:bCs/>
        </w:rPr>
        <w:t xml:space="preserve"> </w:t>
      </w:r>
      <w:r w:rsidR="00555B7B">
        <w:rPr>
          <w:bCs/>
        </w:rPr>
        <w:t xml:space="preserve"> E</w:t>
      </w:r>
      <w:r>
        <w:rPr>
          <w:bCs/>
        </w:rPr>
        <w:t xml:space="preserve">stimates of specific items of </w:t>
      </w:r>
      <w:r w:rsidR="00555B7B">
        <w:rPr>
          <w:bCs/>
        </w:rPr>
        <w:t xml:space="preserve">anticipated </w:t>
      </w:r>
      <w:r>
        <w:rPr>
          <w:bCs/>
        </w:rPr>
        <w:t>expenditure are</w:t>
      </w:r>
    </w:p>
    <w:p w14:paraId="3F3F18D7" w14:textId="286771BC" w:rsidR="00F05070" w:rsidRDefault="00F05070" w:rsidP="00F05070">
      <w:pPr>
        <w:rPr>
          <w:bCs/>
        </w:rPr>
      </w:pPr>
      <w:r>
        <w:rPr>
          <w:bCs/>
        </w:rPr>
        <w:t xml:space="preserve">1)  </w:t>
      </w:r>
      <w:r w:rsidR="001C6ED5">
        <w:rPr>
          <w:bCs/>
        </w:rPr>
        <w:t xml:space="preserve">the British Championship entry fee of the NCCU Champion, Mike Surtees, assuming he chooses to play, estimated </w:t>
      </w:r>
      <w:r>
        <w:rPr>
          <w:bCs/>
        </w:rPr>
        <w:t xml:space="preserve">at </w:t>
      </w:r>
      <w:r w:rsidR="001C6ED5">
        <w:rPr>
          <w:bCs/>
        </w:rPr>
        <w:t>£22</w:t>
      </w:r>
      <w:r>
        <w:rPr>
          <w:bCs/>
        </w:rPr>
        <w:t>0</w:t>
      </w:r>
      <w:r w:rsidR="001C6ED5">
        <w:rPr>
          <w:bCs/>
        </w:rPr>
        <w:t xml:space="preserve"> plus or minus </w:t>
      </w:r>
      <w:r>
        <w:rPr>
          <w:bCs/>
        </w:rPr>
        <w:t>£28 (depending on unpredictable factors like his rating and time of entry.</w:t>
      </w:r>
    </w:p>
    <w:p w14:paraId="5CA03DB4" w14:textId="7FB6F1CE" w:rsidR="00F05070" w:rsidRDefault="00F05070" w:rsidP="00F05070">
      <w:pPr>
        <w:rPr>
          <w:bCs/>
        </w:rPr>
      </w:pPr>
      <w:r>
        <w:rPr>
          <w:bCs/>
        </w:rPr>
        <w:t>2)  NCCU Schools Award estimated at £190.</w:t>
      </w:r>
    </w:p>
    <w:p w14:paraId="6C0EBABB" w14:textId="4FF3063B" w:rsidR="00F05070" w:rsidRDefault="00F05070" w:rsidP="00F05070">
      <w:pPr>
        <w:rPr>
          <w:bCs/>
        </w:rPr>
      </w:pPr>
      <w:r>
        <w:rPr>
          <w:bCs/>
        </w:rPr>
        <w:t xml:space="preserve">3)  2025 AGM room </w:t>
      </w:r>
      <w:proofErr w:type="gramStart"/>
      <w:r>
        <w:rPr>
          <w:bCs/>
        </w:rPr>
        <w:t>hire</w:t>
      </w:r>
      <w:proofErr w:type="gramEnd"/>
      <w:r>
        <w:rPr>
          <w:bCs/>
        </w:rPr>
        <w:t xml:space="preserve"> and refreshments estimated at £80.</w:t>
      </w:r>
    </w:p>
    <w:p w14:paraId="583F7249" w14:textId="77777777" w:rsidR="00F05070" w:rsidRDefault="00F05070" w:rsidP="00F05070">
      <w:pPr>
        <w:rPr>
          <w:bCs/>
        </w:rPr>
      </w:pPr>
    </w:p>
    <w:p w14:paraId="2CF159D9" w14:textId="51CFFA0F" w:rsidR="00F05070" w:rsidRDefault="00F05070" w:rsidP="00F05070">
      <w:pPr>
        <w:rPr>
          <w:bCs/>
        </w:rPr>
      </w:pPr>
      <w:r>
        <w:rPr>
          <w:bCs/>
        </w:rPr>
        <w:t xml:space="preserve">That leaves c. £463 </w:t>
      </w:r>
      <w:r w:rsidR="004577C0">
        <w:rPr>
          <w:bCs/>
        </w:rPr>
        <w:t xml:space="preserve">(the break-even amount </w:t>
      </w:r>
      <w:r w:rsidR="00555B7B">
        <w:rPr>
          <w:bCs/>
        </w:rPr>
        <w:t>on the account for</w:t>
      </w:r>
      <w:r w:rsidR="004577C0">
        <w:rPr>
          <w:bCs/>
        </w:rPr>
        <w:t xml:space="preserve"> the year</w:t>
      </w:r>
      <w:r w:rsidR="00B80FCD">
        <w:rPr>
          <w:bCs/>
        </w:rPr>
        <w:t xml:space="preserve"> even without membership income</w:t>
      </w:r>
      <w:r w:rsidR="004577C0">
        <w:rPr>
          <w:bCs/>
        </w:rPr>
        <w:t xml:space="preserve">) </w:t>
      </w:r>
      <w:r>
        <w:rPr>
          <w:bCs/>
        </w:rPr>
        <w:t xml:space="preserve">for whatever </w:t>
      </w:r>
      <w:r w:rsidR="00B80FCD">
        <w:rPr>
          <w:bCs/>
        </w:rPr>
        <w:t xml:space="preserve">other </w:t>
      </w:r>
      <w:r>
        <w:rPr>
          <w:bCs/>
        </w:rPr>
        <w:t>c</w:t>
      </w:r>
      <w:r w:rsidRPr="00F05070">
        <w:rPr>
          <w:bCs/>
        </w:rPr>
        <w:t xml:space="preserve">osts and </w:t>
      </w:r>
      <w:r>
        <w:rPr>
          <w:bCs/>
        </w:rPr>
        <w:t>e</w:t>
      </w:r>
      <w:r w:rsidRPr="00F05070">
        <w:rPr>
          <w:bCs/>
        </w:rPr>
        <w:t xml:space="preserve">xpenses </w:t>
      </w:r>
      <w:r>
        <w:rPr>
          <w:bCs/>
        </w:rPr>
        <w:t xml:space="preserve">might arise.  </w:t>
      </w:r>
      <w:r w:rsidR="00555B7B">
        <w:rPr>
          <w:bCs/>
        </w:rPr>
        <w:t>T</w:t>
      </w:r>
      <w:r>
        <w:rPr>
          <w:bCs/>
        </w:rPr>
        <w:t>hese are unpredictable, but there should be enough to cover the</w:t>
      </w:r>
      <w:r w:rsidR="00555B7B">
        <w:rPr>
          <w:bCs/>
        </w:rPr>
        <w:t>m</w:t>
      </w:r>
      <w:r>
        <w:rPr>
          <w:bCs/>
        </w:rPr>
        <w:t xml:space="preserve">, </w:t>
      </w:r>
      <w:r w:rsidR="00555B7B">
        <w:rPr>
          <w:bCs/>
        </w:rPr>
        <w:t>even without income from</w:t>
      </w:r>
      <w:r w:rsidR="004577C0">
        <w:rPr>
          <w:bCs/>
        </w:rPr>
        <w:t xml:space="preserve"> </w:t>
      </w:r>
      <w:r>
        <w:rPr>
          <w:bCs/>
        </w:rPr>
        <w:t xml:space="preserve">CCA Membership fees </w:t>
      </w:r>
      <w:r w:rsidR="00555B7B">
        <w:rPr>
          <w:bCs/>
        </w:rPr>
        <w:t xml:space="preserve">to </w:t>
      </w:r>
      <w:r>
        <w:rPr>
          <w:bCs/>
        </w:rPr>
        <w:t>be paid in</w:t>
      </w:r>
      <w:r w:rsidR="004577C0">
        <w:rPr>
          <w:bCs/>
        </w:rPr>
        <w:t xml:space="preserve"> due course</w:t>
      </w:r>
      <w:r>
        <w:rPr>
          <w:bCs/>
        </w:rPr>
        <w:t>.</w:t>
      </w:r>
    </w:p>
    <w:p w14:paraId="743AF530" w14:textId="77777777" w:rsidR="001C6ED5" w:rsidRDefault="001C6ED5" w:rsidP="000D2393">
      <w:pPr>
        <w:rPr>
          <w:bCs/>
        </w:rPr>
      </w:pPr>
    </w:p>
    <w:p w14:paraId="43B588D0" w14:textId="2792EED4" w:rsidR="00686E8B" w:rsidRDefault="00686E8B" w:rsidP="000D2393">
      <w:pPr>
        <w:rPr>
          <w:bCs/>
        </w:rPr>
      </w:pPr>
      <w:r>
        <w:rPr>
          <w:bCs/>
        </w:rPr>
        <w:t xml:space="preserve">There can be no </w:t>
      </w:r>
      <w:r w:rsidR="00555B7B">
        <w:rPr>
          <w:bCs/>
        </w:rPr>
        <w:t xml:space="preserve">meaningful </w:t>
      </w:r>
      <w:r>
        <w:rPr>
          <w:bCs/>
        </w:rPr>
        <w:t>accounts for 2024/25 due to financial paralysis.  Strictly, Income was £10 paid in by Dave Cole to keep an account open, and a modest amount of interest, and expenditure was zero.</w:t>
      </w:r>
    </w:p>
    <w:p w14:paraId="27A89289" w14:textId="77777777" w:rsidR="00686E8B" w:rsidRDefault="00686E8B" w:rsidP="000D2393">
      <w:pPr>
        <w:rPr>
          <w:bCs/>
        </w:rPr>
      </w:pPr>
    </w:p>
    <w:p w14:paraId="0559CA6A" w14:textId="7F327D07" w:rsidR="001C6ED5" w:rsidRDefault="00686E8B" w:rsidP="000D2393">
      <w:pPr>
        <w:rPr>
          <w:bCs/>
        </w:rPr>
      </w:pPr>
      <w:r>
        <w:rPr>
          <w:bCs/>
        </w:rPr>
        <w:t xml:space="preserve">As regards agenda item </w:t>
      </w:r>
      <w:r w:rsidRPr="00686E8B">
        <w:rPr>
          <w:bCs/>
        </w:rPr>
        <w:t>9</w:t>
      </w:r>
      <w:r>
        <w:rPr>
          <w:bCs/>
        </w:rPr>
        <w:t>, s</w:t>
      </w:r>
      <w:r w:rsidRPr="00686E8B">
        <w:rPr>
          <w:bCs/>
        </w:rPr>
        <w:t xml:space="preserve">etting </w:t>
      </w:r>
      <w:r>
        <w:rPr>
          <w:bCs/>
        </w:rPr>
        <w:t xml:space="preserve">the </w:t>
      </w:r>
      <w:r w:rsidRPr="00686E8B">
        <w:rPr>
          <w:bCs/>
        </w:rPr>
        <w:t xml:space="preserve">CCA </w:t>
      </w:r>
      <w:r w:rsidR="004577C0">
        <w:rPr>
          <w:bCs/>
        </w:rPr>
        <w:t>M</w:t>
      </w:r>
      <w:r w:rsidRPr="00686E8B">
        <w:rPr>
          <w:bCs/>
        </w:rPr>
        <w:t>embership</w:t>
      </w:r>
      <w:r>
        <w:rPr>
          <w:bCs/>
        </w:rPr>
        <w:t xml:space="preserve"> fee (</w:t>
      </w:r>
      <w:r w:rsidRPr="00686E8B">
        <w:rPr>
          <w:bCs/>
        </w:rPr>
        <w:t>currently £75)</w:t>
      </w:r>
      <w:r>
        <w:rPr>
          <w:bCs/>
        </w:rPr>
        <w:t>, I would propose this remain the same.</w:t>
      </w:r>
    </w:p>
    <w:p w14:paraId="087EA32A" w14:textId="77777777" w:rsidR="004577C0" w:rsidRDefault="004577C0" w:rsidP="000D2393">
      <w:pPr>
        <w:rPr>
          <w:bCs/>
        </w:rPr>
      </w:pPr>
    </w:p>
    <w:p w14:paraId="0C9EBB68" w14:textId="1CA4924B" w:rsidR="004577C0" w:rsidRDefault="004577C0" w:rsidP="000D2393">
      <w:pPr>
        <w:rPr>
          <w:bCs/>
        </w:rPr>
      </w:pPr>
      <w:r>
        <w:rPr>
          <w:bCs/>
        </w:rPr>
        <w:t>It would request guidance from the AGM as to when counties are expected to pay th</w:t>
      </w:r>
      <w:r w:rsidR="00555B7B">
        <w:rPr>
          <w:bCs/>
        </w:rPr>
        <w:t xml:space="preserve">eir </w:t>
      </w:r>
      <w:r>
        <w:rPr>
          <w:bCs/>
        </w:rPr>
        <w:t>CCA Membership fees.</w:t>
      </w:r>
    </w:p>
    <w:p w14:paraId="6696EEA9" w14:textId="77777777" w:rsidR="001F0BB5" w:rsidRDefault="001F0BB5" w:rsidP="000D2393">
      <w:pPr>
        <w:rPr>
          <w:bCs/>
        </w:rPr>
      </w:pPr>
    </w:p>
    <w:p w14:paraId="6AEB4257" w14:textId="2254FC9C" w:rsidR="004577C0" w:rsidRDefault="004577C0" w:rsidP="000D2393">
      <w:pPr>
        <w:rPr>
          <w:bCs/>
        </w:rPr>
      </w:pPr>
      <w:r>
        <w:rPr>
          <w:bCs/>
        </w:rPr>
        <w:t xml:space="preserve">More-detailed working </w:t>
      </w:r>
      <w:r w:rsidR="00555B7B">
        <w:rPr>
          <w:bCs/>
        </w:rPr>
        <w:t>figures</w:t>
      </w:r>
      <w:r>
        <w:rPr>
          <w:bCs/>
        </w:rPr>
        <w:t xml:space="preserve"> are appended.  They were for my use, so if you don’t understand them then sobeit!</w:t>
      </w:r>
    </w:p>
    <w:p w14:paraId="315CE980" w14:textId="77777777" w:rsidR="001F0BB5" w:rsidRDefault="001F0BB5" w:rsidP="000D2393">
      <w:pPr>
        <w:rPr>
          <w:bCs/>
        </w:rPr>
      </w:pPr>
    </w:p>
    <w:p w14:paraId="6C6D2F40" w14:textId="08B7378D" w:rsidR="00686E8B" w:rsidRDefault="000D2393" w:rsidP="000D2393">
      <w:pPr>
        <w:rPr>
          <w:rFonts w:eastAsia="Calibri"/>
          <w:bCs/>
        </w:rPr>
        <w:sectPr w:rsidR="00686E8B" w:rsidSect="00AB5E43">
          <w:pgSz w:w="11906" w:h="16838"/>
          <w:pgMar w:top="284" w:right="1077" w:bottom="284" w:left="1077" w:header="709" w:footer="709" w:gutter="0"/>
          <w:cols w:space="708"/>
          <w:docGrid w:linePitch="360"/>
        </w:sectPr>
      </w:pPr>
      <w:r w:rsidRPr="00B23679">
        <w:rPr>
          <w:bCs/>
        </w:rPr>
        <w:t>Steve Mann</w:t>
      </w:r>
      <w:r>
        <w:rPr>
          <w:bCs/>
        </w:rPr>
        <w:t xml:space="preserve">, </w:t>
      </w:r>
      <w:r w:rsidR="00555B7B">
        <w:rPr>
          <w:rFonts w:eastAsia="Calibri"/>
          <w:bCs/>
        </w:rPr>
        <w:t>Treasurer</w:t>
      </w:r>
    </w:p>
    <w:tbl>
      <w:tblPr>
        <w:tblW w:w="12765" w:type="dxa"/>
        <w:jc w:val="center"/>
        <w:tblLook w:val="04A0" w:firstRow="1" w:lastRow="0" w:firstColumn="1" w:lastColumn="0" w:noHBand="0" w:noVBand="1"/>
      </w:tblPr>
      <w:tblGrid>
        <w:gridCol w:w="1444"/>
        <w:gridCol w:w="1084"/>
        <w:gridCol w:w="2604"/>
        <w:gridCol w:w="4471"/>
        <w:gridCol w:w="1603"/>
        <w:gridCol w:w="1559"/>
      </w:tblGrid>
      <w:tr w:rsidR="00686E8B" w:rsidRPr="00686E8B" w14:paraId="113A52D8" w14:textId="77777777" w:rsidTr="00680DDC">
        <w:trPr>
          <w:trHeight w:val="312"/>
          <w:jc w:val="center"/>
        </w:trPr>
        <w:tc>
          <w:tcPr>
            <w:tcW w:w="12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877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Very Approximate Anticipated Cash Flow in 2025/26</w:t>
            </w:r>
          </w:p>
        </w:tc>
      </w:tr>
      <w:tr w:rsidR="00680DDC" w:rsidRPr="00686E8B" w14:paraId="10996F21" w14:textId="77777777" w:rsidTr="00680DDC">
        <w:trPr>
          <w:trHeight w:val="300"/>
          <w:jc w:val="center"/>
        </w:trPr>
        <w:tc>
          <w:tcPr>
            <w:tcW w:w="12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E315" w14:textId="57250EE2" w:rsidR="00680DDC" w:rsidRPr="00686E8B" w:rsidRDefault="00680DDC" w:rsidP="00680DDC">
            <w:pPr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680DDC">
              <w:rPr>
                <w:rFonts w:eastAsia="Times New Roman"/>
                <w:kern w:val="0"/>
                <w:lang w:eastAsia="en-GB"/>
                <w14:ligatures w14:val="none"/>
              </w:rPr>
              <w:t>(Dates are virtually meaningless)</w:t>
            </w:r>
          </w:p>
        </w:tc>
      </w:tr>
      <w:tr w:rsidR="00686E8B" w:rsidRPr="00686E8B" w14:paraId="4A15BAC9" w14:textId="77777777" w:rsidTr="00680DDC">
        <w:trPr>
          <w:trHeight w:val="312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F7F0" w14:textId="77777777" w:rsidR="00686E8B" w:rsidRPr="00686E8B" w:rsidRDefault="00686E8B" w:rsidP="00686E8B">
            <w:pPr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Est. Date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9FCF" w14:textId="77777777" w:rsidR="00686E8B" w:rsidRPr="00686E8B" w:rsidRDefault="00686E8B" w:rsidP="00686E8B">
            <w:pPr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FY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9813" w14:textId="77777777" w:rsidR="00686E8B" w:rsidRPr="00686E8B" w:rsidRDefault="00686E8B" w:rsidP="00686E8B">
            <w:pPr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From/To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DC82" w14:textId="77777777" w:rsidR="00686E8B" w:rsidRPr="00686E8B" w:rsidRDefault="00686E8B" w:rsidP="00686E8B">
            <w:pPr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For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2545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Amount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8AD5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Running Bal.</w:t>
            </w:r>
          </w:p>
        </w:tc>
      </w:tr>
      <w:tr w:rsidR="00686E8B" w:rsidRPr="00686E8B" w14:paraId="4153B162" w14:textId="77777777" w:rsidTr="00680DDC">
        <w:trPr>
          <w:trHeight w:val="312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8DB5" w14:textId="1C9DD558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</w:t>
            </w:r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noBreakHyphen/>
            </w: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08</w:t>
            </w:r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noBreakHyphen/>
            </w: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26AE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773" w14:textId="79910AA2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Santander</w:t>
            </w:r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Current</w:t>
            </w:r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A/c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B99A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account transfer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287B" w14:textId="77777777" w:rsidR="00686E8B" w:rsidRPr="00686E8B" w:rsidRDefault="00686E8B" w:rsidP="00686E8B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1,317.87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0DD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1,317.87</w:t>
            </w:r>
          </w:p>
        </w:tc>
      </w:tr>
      <w:tr w:rsidR="00686E8B" w:rsidRPr="00686E8B" w14:paraId="581D5CF3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C0F0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83D7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A1FB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8 Counties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C99C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NCCU Membership 2024/25 £75 x 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650D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7577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1,917.87</w:t>
            </w:r>
          </w:p>
        </w:tc>
      </w:tr>
      <w:tr w:rsidR="00686E8B" w:rsidRPr="00686E8B" w14:paraId="264378DF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C6E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194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2024/25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B957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David Cole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99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School Award 2024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D25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-162.00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1CBD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1,755.87</w:t>
            </w:r>
          </w:p>
        </w:tc>
      </w:tr>
      <w:tr w:rsidR="00686E8B" w:rsidRPr="00686E8B" w14:paraId="303F7E6E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C04F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3A2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2024/25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DB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David Cole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7E9A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Payment into LMS a/c to keep open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CB17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-10.00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EF9F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1,745.87</w:t>
            </w:r>
          </w:p>
        </w:tc>
      </w:tr>
      <w:tr w:rsidR="00686E8B" w:rsidRPr="00686E8B" w14:paraId="5E0EA944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095F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8F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2024/25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8BA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Rupert Jones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DCBA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AGM 2024 Room Hire &amp; </w:t>
            </w:r>
            <w:proofErr w:type="spellStart"/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Refeshments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8749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-75.00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F2CF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1,670.87</w:t>
            </w:r>
          </w:p>
        </w:tc>
      </w:tr>
      <w:tr w:rsidR="00686E8B" w:rsidRPr="00686E8B" w14:paraId="74DE1112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D23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61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22E5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West Riding (SM)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A14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2024 AGM costs (estimate)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04D4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-80.00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902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1,590.87</w:t>
            </w:r>
          </w:p>
        </w:tc>
      </w:tr>
      <w:tr w:rsidR="00686E8B" w:rsidRPr="00686E8B" w14:paraId="30D0E3CA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C49F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C97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28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Mike Surtees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0ACE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British Champ Entry fee (+/- £67.50)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2F72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-220.00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DB24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1,370.87</w:t>
            </w:r>
          </w:p>
        </w:tc>
      </w:tr>
      <w:tr w:rsidR="00686E8B" w:rsidRPr="00686E8B" w14:paraId="148BB696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8057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2025-12-20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02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CC8D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Chess Essentials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78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School Award 2025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A7C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-190.00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932B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1,180.87</w:t>
            </w:r>
          </w:p>
        </w:tc>
      </w:tr>
      <w:tr w:rsidR="00686E8B" w:rsidRPr="00686E8B" w14:paraId="66D661DB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436D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2026-03-31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98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230F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8 Counties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055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NCCU Membership 2025/26 £75 x 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341A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E43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1,780.87</w:t>
            </w:r>
          </w:p>
        </w:tc>
      </w:tr>
      <w:tr w:rsidR="00686E8B" w:rsidRPr="00686E8B" w14:paraId="06C1E8E2" w14:textId="77777777" w:rsidTr="00680DDC">
        <w:trPr>
          <w:trHeight w:val="312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EF8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2026-03-31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767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2025/26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9E93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Various People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8DB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Assorted Costs and Expenses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0006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-463.00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D78B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1,317.87</w:t>
            </w:r>
          </w:p>
        </w:tc>
      </w:tr>
      <w:tr w:rsidR="00686E8B" w:rsidRPr="00686E8B" w14:paraId="1A0AEC4B" w14:textId="77777777" w:rsidTr="00680DDC">
        <w:trPr>
          <w:trHeight w:val="312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E377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435D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3FA5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7654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91B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FC90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6E8B" w:rsidRPr="00686E8B" w14:paraId="7434C4D4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B3C4" w14:textId="77777777" w:rsidR="00686E8B" w:rsidRPr="00686E8B" w:rsidRDefault="00686E8B" w:rsidP="00686E8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3ABA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A0DB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9647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56C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497B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6E8B" w:rsidRPr="00686E8B" w14:paraId="42709727" w14:textId="77777777" w:rsidTr="00680DDC">
        <w:trPr>
          <w:trHeight w:val="312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EE5B" w14:textId="77777777" w:rsidR="00686E8B" w:rsidRPr="00686E8B" w:rsidRDefault="00686E8B" w:rsidP="00686E8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DDEC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5771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Summary (</w:t>
            </w:r>
            <w:proofErr w:type="spellStart"/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excl</w:t>
            </w:r>
            <w:proofErr w:type="spellEnd"/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Santander transfers)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014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Expenditure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F152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Income</w:t>
            </w:r>
          </w:p>
        </w:tc>
      </w:tr>
      <w:tr w:rsidR="00686E8B" w:rsidRPr="00686E8B" w14:paraId="02FF8721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8E2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757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F1E0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D Cole, R Jones 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1F8D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O/S debts previous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43C1" w14:textId="77777777" w:rsidR="00686E8B" w:rsidRPr="00686E8B" w:rsidRDefault="00686E8B" w:rsidP="00686E8B">
            <w:pPr>
              <w:jc w:val="right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kern w:val="0"/>
                <w:lang w:eastAsia="en-GB"/>
                <w14:ligatures w14:val="none"/>
              </w:rPr>
              <w:t>-247.00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3A8" w14:textId="77777777" w:rsidR="00686E8B" w:rsidRPr="00686E8B" w:rsidRDefault="00686E8B" w:rsidP="00686E8B">
            <w:pPr>
              <w:jc w:val="right"/>
              <w:rPr>
                <w:rFonts w:eastAsia="Times New Roman"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2B8E1CE7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C153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59CE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1DB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S Mann (guess)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9BD8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Costs of 2025 AGM (est.)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874F" w14:textId="77777777" w:rsidR="00686E8B" w:rsidRPr="00686E8B" w:rsidRDefault="00686E8B" w:rsidP="00686E8B">
            <w:pPr>
              <w:jc w:val="right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kern w:val="0"/>
                <w:lang w:eastAsia="en-GB"/>
                <w14:ligatures w14:val="none"/>
              </w:rPr>
              <w:t>-80.00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B35F" w14:textId="77777777" w:rsidR="00686E8B" w:rsidRPr="00686E8B" w:rsidRDefault="00686E8B" w:rsidP="00686E8B">
            <w:pPr>
              <w:jc w:val="right"/>
              <w:rPr>
                <w:rFonts w:eastAsia="Times New Roman"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1C494E41" w14:textId="77777777" w:rsidTr="00555B7B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982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F33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3D25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M Surtees (if plays)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6EF5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Br </w:t>
            </w:r>
            <w:proofErr w:type="spellStart"/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Champ.Entry</w:t>
            </w:r>
            <w:proofErr w:type="spellEnd"/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 Fee +/- £28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A7E3" w14:textId="77777777" w:rsidR="00686E8B" w:rsidRPr="00686E8B" w:rsidRDefault="00686E8B" w:rsidP="00686E8B">
            <w:pPr>
              <w:jc w:val="right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kern w:val="0"/>
                <w:lang w:eastAsia="en-GB"/>
                <w14:ligatures w14:val="none"/>
              </w:rPr>
              <w:t>-220.00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851B" w14:textId="77777777" w:rsidR="00686E8B" w:rsidRPr="00686E8B" w:rsidRDefault="00686E8B" w:rsidP="00686E8B">
            <w:pPr>
              <w:jc w:val="right"/>
              <w:rPr>
                <w:rFonts w:eastAsia="Times New Roman"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7F422A1B" w14:textId="77777777" w:rsidTr="00555B7B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C76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2025-12-20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E8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807F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Chess Essentials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57DD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NCCU School Award 2025 est.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76F4" w14:textId="77777777" w:rsidR="00686E8B" w:rsidRPr="00686E8B" w:rsidRDefault="00686E8B" w:rsidP="00686E8B">
            <w:pPr>
              <w:jc w:val="right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kern w:val="0"/>
                <w:lang w:eastAsia="en-GB"/>
                <w14:ligatures w14:val="none"/>
              </w:rPr>
              <w:t>-190.00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34ED" w14:textId="77777777" w:rsidR="00686E8B" w:rsidRPr="00686E8B" w:rsidRDefault="00686E8B" w:rsidP="00686E8B">
            <w:pPr>
              <w:jc w:val="right"/>
              <w:rPr>
                <w:rFonts w:eastAsia="Times New Roman"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673FD88B" w14:textId="77777777" w:rsidTr="00555B7B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4EFD" w14:textId="77777777" w:rsidR="00686E8B" w:rsidRPr="00686E8B" w:rsidRDefault="00686E8B" w:rsidP="00686E8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915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64D0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C4C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Subtotal known amounts</w:t>
            </w:r>
          </w:p>
        </w:tc>
        <w:tc>
          <w:tcPr>
            <w:tcW w:w="1603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3F2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-737.00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792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3FBB0D83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48A8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2026-03-31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07AF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(should be more than enough)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965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Assorted Costs and Expenses provision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A826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-463.00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40E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23BAA1B5" w14:textId="77777777" w:rsidTr="00780FF9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15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WHEN?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B6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270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8 Counties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4A0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CCA Membership Fees 2024/25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11F8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3AC0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600.00</w:t>
            </w:r>
          </w:p>
        </w:tc>
      </w:tr>
      <w:tr w:rsidR="00686E8B" w:rsidRPr="00686E8B" w14:paraId="36932418" w14:textId="77777777" w:rsidTr="00780FF9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5AF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WHEN?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C69C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09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8 Counties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B1C0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CCA Membership Fees 2025/26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FD9A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CEF40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600.00</w:t>
            </w:r>
          </w:p>
        </w:tc>
      </w:tr>
      <w:tr w:rsidR="00686E8B" w:rsidRPr="00686E8B" w14:paraId="4D626E20" w14:textId="77777777" w:rsidTr="00780FF9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F40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E9F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C178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EBEB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3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493F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-1,200.00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C8B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1,200.00</w:t>
            </w:r>
          </w:p>
        </w:tc>
      </w:tr>
      <w:tr w:rsidR="00686E8B" w:rsidRPr="00686E8B" w14:paraId="1386D7D5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B337" w14:textId="77777777" w:rsidR="00686E8B" w:rsidRPr="00686E8B" w:rsidRDefault="00686E8B" w:rsidP="00686E8B">
            <w:pPr>
              <w:jc w:val="center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2CE9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97A7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8D34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CBD2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1F83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6E8B" w:rsidRPr="00686E8B" w14:paraId="225B3518" w14:textId="77777777" w:rsidTr="00680DDC">
        <w:trPr>
          <w:trHeight w:val="312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7CB" w14:textId="77777777" w:rsidR="00686E8B" w:rsidRPr="00686E8B" w:rsidRDefault="00686E8B" w:rsidP="00686E8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802C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187C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Santander Balances to Transfer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3A97" w14:textId="77777777" w:rsidR="00686E8B" w:rsidRPr="00686E8B" w:rsidRDefault="00686E8B" w:rsidP="00686E8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A247" w14:textId="77777777" w:rsidR="00686E8B" w:rsidRPr="00686E8B" w:rsidRDefault="00686E8B" w:rsidP="00686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6E8B" w:rsidRPr="00686E8B" w14:paraId="7341D603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8F25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2025-08-01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4579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44A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Probably Okay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32D9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Current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921D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1,317.86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2FF0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28724707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2A66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67E4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71B0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More Difficult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14C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NCCU Savings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442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484.77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575D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86E8B" w:rsidRPr="00686E8B" w14:paraId="172FFDE8" w14:textId="77777777" w:rsidTr="00680DDC">
        <w:trPr>
          <w:trHeight w:val="300"/>
          <w:jc w:val="center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2E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BB1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2A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More Difficult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8692" w14:textId="77777777" w:rsidR="00686E8B" w:rsidRPr="00686E8B" w:rsidRDefault="00686E8B" w:rsidP="00686E8B">
            <w:pP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LMS Scheme Savings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6116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686E8B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766.17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5EDC" w14:textId="77777777" w:rsidR="00686E8B" w:rsidRPr="00686E8B" w:rsidRDefault="00686E8B" w:rsidP="00686E8B">
            <w:pPr>
              <w:jc w:val="right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AA5107E" w14:textId="0D03D397" w:rsidR="000D2393" w:rsidRDefault="000D2393" w:rsidP="000D2393"/>
    <w:sectPr w:rsidR="000D2393" w:rsidSect="00686E8B">
      <w:pgSz w:w="16838" w:h="11906" w:orient="landscape"/>
      <w:pgMar w:top="1077" w:right="284" w:bottom="107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D9C"/>
    <w:multiLevelType w:val="hybridMultilevel"/>
    <w:tmpl w:val="30EE7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0EB2"/>
    <w:multiLevelType w:val="hybridMultilevel"/>
    <w:tmpl w:val="CE82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199758">
    <w:abstractNumId w:val="0"/>
  </w:num>
  <w:num w:numId="2" w16cid:durableId="159940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3"/>
    <w:rsid w:val="00051EAF"/>
    <w:rsid w:val="00073958"/>
    <w:rsid w:val="000A59AB"/>
    <w:rsid w:val="000D2393"/>
    <w:rsid w:val="001C6ED5"/>
    <w:rsid w:val="001E5178"/>
    <w:rsid w:val="001F0BB5"/>
    <w:rsid w:val="002316D1"/>
    <w:rsid w:val="002577A5"/>
    <w:rsid w:val="002D311A"/>
    <w:rsid w:val="002E21DC"/>
    <w:rsid w:val="002F725A"/>
    <w:rsid w:val="00426D5C"/>
    <w:rsid w:val="004577C0"/>
    <w:rsid w:val="005324B4"/>
    <w:rsid w:val="00555B7B"/>
    <w:rsid w:val="00660F68"/>
    <w:rsid w:val="00680DDC"/>
    <w:rsid w:val="00686E8B"/>
    <w:rsid w:val="00780FF9"/>
    <w:rsid w:val="008126BD"/>
    <w:rsid w:val="008913EA"/>
    <w:rsid w:val="00A2212B"/>
    <w:rsid w:val="00AB5E43"/>
    <w:rsid w:val="00AC4216"/>
    <w:rsid w:val="00B3130A"/>
    <w:rsid w:val="00B50590"/>
    <w:rsid w:val="00B80FCD"/>
    <w:rsid w:val="00D61227"/>
    <w:rsid w:val="00DC3B5B"/>
    <w:rsid w:val="00DC635F"/>
    <w:rsid w:val="00E25ADF"/>
    <w:rsid w:val="00E50C3D"/>
    <w:rsid w:val="00F05070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0567"/>
  <w15:chartTrackingRefBased/>
  <w15:docId w15:val="{F644CDC2-1BC5-471D-89D3-647429EF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9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Mann</dc:creator>
  <cp:keywords/>
  <dc:description/>
  <cp:lastModifiedBy>Steve Mann</cp:lastModifiedBy>
  <cp:revision>2</cp:revision>
  <cp:lastPrinted>2025-05-25T19:43:00Z</cp:lastPrinted>
  <dcterms:created xsi:type="dcterms:W3CDTF">2025-05-25T19:43:00Z</dcterms:created>
  <dcterms:modified xsi:type="dcterms:W3CDTF">2025-05-25T19:43:00Z</dcterms:modified>
</cp:coreProperties>
</file>